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F61E79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6"/>
          <w:szCs w:val="36"/>
        </w:rPr>
        <w:t>(Geography</w:t>
      </w:r>
      <w:r w:rsidR="00271A02" w:rsidRPr="00271A02">
        <w:rPr>
          <w:rFonts w:ascii="Bookman Old Style" w:hAnsi="Bookman Old Style"/>
          <w:b/>
          <w:sz w:val="36"/>
          <w:szCs w:val="36"/>
        </w:rPr>
        <w:t>)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ED567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Unit 3 Contemporary Geographical Issues. </w:t>
            </w:r>
            <w:r w:rsidR="008E733D">
              <w:rPr>
                <w:rFonts w:ascii="Bookman Old Style" w:hAnsi="Bookman Old Style"/>
                <w:b/>
                <w:sz w:val="24"/>
                <w:szCs w:val="24"/>
              </w:rPr>
              <w:t>World Cities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ED5670">
              <w:rPr>
                <w:rFonts w:ascii="Bookman Old Style" w:hAnsi="Bookman Old Style"/>
                <w:b/>
                <w:sz w:val="24"/>
                <w:szCs w:val="24"/>
              </w:rPr>
              <w:t xml:space="preserve"> GEOG3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Default="00F531D4" w:rsidP="00271A02">
      <w:pPr>
        <w:spacing w:after="0"/>
        <w:ind w:left="-851" w:firstLine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D5670" w:rsidRPr="00F531D4" w:rsidRDefault="00ED5670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8"/>
          <w:szCs w:val="8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ED5670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ED5670">
        <w:trPr>
          <w:jc w:val="center"/>
        </w:trPr>
        <w:tc>
          <w:tcPr>
            <w:tcW w:w="8365" w:type="dxa"/>
          </w:tcPr>
          <w:p w:rsidR="008438C1" w:rsidRPr="001E18CF" w:rsidRDefault="00ED5670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ED5670" w:rsidRPr="00F531D4" w:rsidRDefault="00ED5670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ED567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ED56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1676E9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Literacy skills- extracting information from a text.</w:t>
            </w: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1676E9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annotate photographs and sketches.</w:t>
            </w: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5321D1" w:rsidRDefault="00ED5670" w:rsidP="001676E9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interpret, describe and comment on information from graphs e.g. line graphs, bar graphs, scatter graphs, pie charts, triangular graphs, radial diagrams, logarithmic scales, dispersion diagrams.</w:t>
            </w:r>
          </w:p>
          <w:p w:rsidR="00ED5670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ED5670" w:rsidRPr="005321D1" w:rsidRDefault="00ED5670" w:rsidP="00ED5670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Default="00ED5670" w:rsidP="001676E9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Ability to interpret, describe and comment on information from maps e.g. atlas maps, base maps, sketch maps, OS maps, maps with proportional symbols, maps showing movement,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choropleth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isoline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and dot maps.</w:t>
            </w:r>
          </w:p>
          <w:p w:rsidR="00ED5670" w:rsidRDefault="00ED5670" w:rsidP="00ED567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  <w:p w:rsidR="00ED5670" w:rsidRPr="0063289D" w:rsidRDefault="00ED5670" w:rsidP="00ED5670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D5670" w:rsidRPr="00DA4EFD" w:rsidTr="00271A02">
        <w:tc>
          <w:tcPr>
            <w:tcW w:w="5813" w:type="dxa"/>
          </w:tcPr>
          <w:p w:rsidR="00ED5670" w:rsidRPr="00712FE6" w:rsidRDefault="00ED5670" w:rsidP="001676E9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712FE6">
              <w:rPr>
                <w:rFonts w:ascii="Bookman Old Style" w:hAnsi="Bookman Old Style"/>
                <w:sz w:val="24"/>
                <w:szCs w:val="24"/>
              </w:rPr>
              <w:t>Ability to carry out comparative tests e.g. Chi squared and Mann Whitney U Test.</w:t>
            </w:r>
          </w:p>
          <w:p w:rsidR="00ED5670" w:rsidRDefault="00ED5670" w:rsidP="00ED5670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D5670" w:rsidRPr="00DA4EFD" w:rsidRDefault="00ED567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ED56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08329D">
        <w:trPr>
          <w:trHeight w:val="310"/>
        </w:trPr>
        <w:tc>
          <w:tcPr>
            <w:tcW w:w="5529" w:type="dxa"/>
          </w:tcPr>
          <w:p w:rsidR="006524D0" w:rsidRPr="0008329D" w:rsidRDefault="00CB6EB8" w:rsidP="00CB6EB8">
            <w:pPr>
              <w:autoSpaceDE w:val="0"/>
              <w:autoSpaceDN w:val="0"/>
              <w:adjustRightInd w:val="0"/>
              <w:rPr>
                <w:rFonts w:ascii="Bookman Old Style" w:hAnsi="Bookman Old Style" w:cs="HelveticaNeueLT-Roman"/>
                <w:b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Roman"/>
                <w:b/>
                <w:sz w:val="24"/>
                <w:szCs w:val="24"/>
              </w:rPr>
              <w:t>World Citie</w:t>
            </w:r>
            <w:r w:rsidR="0008329D">
              <w:rPr>
                <w:rFonts w:ascii="Bookman Old Style" w:hAnsi="Bookman Old Style" w:cs="HelveticaNeueLT-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CB6EB8" w:rsidP="001676E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The global pattern: millionaire cities, mega cities and</w:t>
            </w:r>
            <w:r w:rsidR="005C2B9B"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world cities.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study: Global Hierarchy.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1676E9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sz w:val="24"/>
                <w:szCs w:val="24"/>
              </w:rPr>
              <w:t>Economic development and change related to</w:t>
            </w:r>
            <w:r w:rsidR="005C2B9B" w:rsidRPr="001676E9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1676E9">
              <w:rPr>
                <w:rFonts w:ascii="Bookman Old Style" w:hAnsi="Bookman Old Style" w:cs="HelveticaNeueLT-Light"/>
                <w:sz w:val="24"/>
                <w:szCs w:val="24"/>
              </w:rPr>
              <w:t>urbanisation.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studies: Europe, Asia and Africa.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8329D" w:rsidRDefault="00CB6EB8" w:rsidP="0008329D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Contemporary urbanisation processes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Urbanisation: characteristics, causes and effects.</w:t>
            </w:r>
          </w:p>
          <w:p w:rsidR="001676E9" w:rsidRPr="001676E9" w:rsidRDefault="001676E9" w:rsidP="001676E9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study: Mumbai.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Suburbanisation: characteristics, causes and effects.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study: Reading.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Counter-urbanisation: characteristics, causes and</w:t>
            </w:r>
            <w:r w:rsidR="005C2B9B"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effects.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St Ives, Cambridgeshire.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Re-urbanisation: characteristics, causes and effects.</w:t>
            </w:r>
            <w:r w:rsidR="005C2B9B"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Planning and management issues.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studies: Notting Hill and Mumbai.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5C2B9B" w:rsidRDefault="00CB6EB8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Contrasting case studies within countries at different</w:t>
            </w:r>
            <w:r w:rsidR="005C2B9B"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levels of economic development to demonstrate the</w:t>
            </w:r>
            <w:r w:rsidR="005C2B9B"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above.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D579A4" w:rsidRPr="005C2B9B" w:rsidRDefault="00D579A4" w:rsidP="005C2B9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B9B">
              <w:rPr>
                <w:rFonts w:ascii="Bookman Old Style" w:hAnsi="Bookman Old Style"/>
                <w:b/>
                <w:sz w:val="24"/>
                <w:szCs w:val="24"/>
              </w:rPr>
              <w:t>Urban decline and regeneration within</w:t>
            </w:r>
          </w:p>
          <w:p w:rsidR="006524D0" w:rsidRPr="0008329D" w:rsidRDefault="00D579A4" w:rsidP="0008329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B9B">
              <w:rPr>
                <w:rFonts w:ascii="Bookman Old Style" w:hAnsi="Bookman Old Style"/>
                <w:b/>
                <w:sz w:val="24"/>
                <w:szCs w:val="24"/>
              </w:rPr>
              <w:t>urban areas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8329D" w:rsidRDefault="005C2B9B" w:rsidP="001676E9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C2B9B">
              <w:rPr>
                <w:rFonts w:ascii="Bookman Old Style" w:hAnsi="Bookman Old Style"/>
                <w:sz w:val="24"/>
                <w:szCs w:val="24"/>
              </w:rPr>
              <w:t>Characteristics and causes of urban decline.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D87092" w:rsidRDefault="005C2B9B" w:rsidP="001676E9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C2B9B">
              <w:rPr>
                <w:rFonts w:ascii="Bookman Old Style" w:hAnsi="Bookman Old Style"/>
                <w:sz w:val="24"/>
                <w:szCs w:val="24"/>
              </w:rPr>
              <w:t>Urban regeneration: gentrification, property-led regeneration schemes, partnership schemes between local and national governments and the private</w:t>
            </w:r>
            <w:r w:rsidR="001676E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676E9">
              <w:rPr>
                <w:rFonts w:ascii="Bookman Old Style" w:hAnsi="Bookman Old Style"/>
                <w:sz w:val="24"/>
                <w:szCs w:val="24"/>
              </w:rPr>
              <w:t>sector.</w:t>
            </w:r>
          </w:p>
          <w:p w:rsidR="001676E9" w:rsidRPr="001676E9" w:rsidRDefault="001676E9" w:rsidP="001676E9">
            <w:pPr>
              <w:pStyle w:val="ListParagrap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Case studies:</w:t>
            </w:r>
          </w:p>
          <w:p w:rsidR="001676E9" w:rsidRPr="001676E9" w:rsidRDefault="001676E9" w:rsidP="001676E9">
            <w:pPr>
              <w:pStyle w:val="ListParagrap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UDC and Property-led: Cardiff Bay</w:t>
            </w:r>
          </w:p>
          <w:p w:rsidR="001676E9" w:rsidRPr="001676E9" w:rsidRDefault="001676E9" w:rsidP="001676E9">
            <w:pPr>
              <w:pStyle w:val="ListParagrap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City Challenge Partnership: </w:t>
            </w:r>
            <w:proofErr w:type="spellStart"/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Hulme</w:t>
            </w:r>
            <w:proofErr w:type="spellEnd"/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City</w:t>
            </w:r>
          </w:p>
          <w:p w:rsidR="001676E9" w:rsidRPr="001676E9" w:rsidRDefault="001676E9" w:rsidP="001676E9">
            <w:pPr>
              <w:pStyle w:val="ListParagraph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English Partnership Challenge: Park Hill.</w:t>
            </w:r>
          </w:p>
          <w:p w:rsidR="001676E9" w:rsidRPr="001676E9" w:rsidRDefault="001676E9" w:rsidP="001676E9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Sustainable communities: Thames Gateway.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8329D" w:rsidRDefault="005C2B9B" w:rsidP="005C2B9B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Retailing and other services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5C2B9B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The decentralisation of retailing and other services – causes and impacts.</w:t>
            </w:r>
          </w:p>
          <w:p w:rsid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study: Merry Hill.</w:t>
            </w:r>
          </w:p>
          <w:p w:rsid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1676E9" w:rsidRDefault="005C2B9B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Heavy"/>
                <w:sz w:val="24"/>
                <w:szCs w:val="24"/>
              </w:rPr>
              <w:lastRenderedPageBreak/>
              <w:t xml:space="preserve">One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case study of an out of town</w:t>
            </w:r>
          </w:p>
          <w:p w:rsidR="006524D0" w:rsidRDefault="005C2B9B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proofErr w:type="gramStart"/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centre</w:t>
            </w:r>
            <w:proofErr w:type="gramEnd"/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 xml:space="preserve"> retailing area.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Case study: Merry Hill.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1676E9" w:rsidRDefault="005C2B9B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The redevelopment of urban centres – impacts and responses, including one case study of an urban centre that has undergone redevelopment.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/>
                <w:b/>
                <w:i/>
                <w:sz w:val="24"/>
                <w:szCs w:val="24"/>
              </w:rPr>
              <w:t>Case study: Touchwood, Solihull.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8329D" w:rsidRDefault="005C2B9B" w:rsidP="0008329D">
            <w:pPr>
              <w:autoSpaceDE w:val="0"/>
              <w:autoSpaceDN w:val="0"/>
              <w:adjustRightInd w:val="0"/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Contemporary sustainability issues in urban</w:t>
            </w:r>
            <w:r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Bold"/>
                <w:b/>
                <w:bCs/>
                <w:sz w:val="24"/>
                <w:szCs w:val="24"/>
              </w:rPr>
              <w:t>areas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5C2B9B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Waste management: recycling and its alternatives.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West Berkshire and </w:t>
            </w:r>
            <w:proofErr w:type="spellStart"/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Zabaleen</w:t>
            </w:r>
            <w:proofErr w:type="spellEnd"/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, Cairo. </w:t>
            </w:r>
          </w:p>
        </w:tc>
        <w:tc>
          <w:tcPr>
            <w:tcW w:w="567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ED56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Pr="001676E9" w:rsidRDefault="005C2B9B" w:rsidP="001676E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Transport and its management: the development of</w:t>
            </w:r>
            <w:r>
              <w:rPr>
                <w:rFonts w:ascii="Bookman Old Style" w:hAnsi="Bookman Old Style" w:cs="HelveticaNeueLT-Light"/>
                <w:sz w:val="24"/>
                <w:szCs w:val="24"/>
              </w:rPr>
              <w:t xml:space="preserve"> </w:t>
            </w:r>
            <w:r w:rsidRPr="005C2B9B">
              <w:rPr>
                <w:rFonts w:ascii="Bookman Old Style" w:hAnsi="Bookman Old Style" w:cs="HelveticaNeueLT-Light"/>
                <w:sz w:val="24"/>
                <w:szCs w:val="24"/>
              </w:rPr>
              <w:t>integrated, efficient and sustainable systems.</w:t>
            </w:r>
          </w:p>
          <w:p w:rsidR="001676E9" w:rsidRPr="001676E9" w:rsidRDefault="001676E9" w:rsidP="001676E9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Case studies: Curitiba- Rapid Transit System and London congestion charge and </w:t>
            </w:r>
            <w:proofErr w:type="spellStart"/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>Borris</w:t>
            </w:r>
            <w:proofErr w:type="spellEnd"/>
            <w:r w:rsidRPr="001676E9">
              <w:rPr>
                <w:rFonts w:ascii="Bookman Old Style" w:hAnsi="Bookman Old Style" w:cs="HelveticaNeueLT-Light"/>
                <w:b/>
                <w:i/>
                <w:sz w:val="24"/>
                <w:szCs w:val="24"/>
              </w:rPr>
              <w:t xml:space="preserve"> Bikes. </w:t>
            </w:r>
          </w:p>
        </w:tc>
        <w:tc>
          <w:tcPr>
            <w:tcW w:w="567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ED5670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71A02" w:rsidRPr="008438C1" w:rsidTr="00271A02">
        <w:tc>
          <w:tcPr>
            <w:tcW w:w="10774" w:type="dxa"/>
            <w:gridSpan w:val="5"/>
          </w:tcPr>
          <w:p w:rsidR="001676E9" w:rsidRDefault="001676E9" w:rsidP="00E4352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ED5670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9D" w:rsidRDefault="0008329D" w:rsidP="006524D0">
      <w:pPr>
        <w:spacing w:after="0" w:line="240" w:lineRule="auto"/>
      </w:pPr>
      <w:r>
        <w:separator/>
      </w:r>
    </w:p>
  </w:endnote>
  <w:endnote w:type="continuationSeparator" w:id="0">
    <w:p w:rsidR="0008329D" w:rsidRDefault="0008329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9D" w:rsidRPr="006524D0" w:rsidRDefault="0008329D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9D" w:rsidRDefault="0008329D" w:rsidP="006524D0">
      <w:pPr>
        <w:spacing w:after="0" w:line="240" w:lineRule="auto"/>
      </w:pPr>
      <w:r>
        <w:separator/>
      </w:r>
    </w:p>
  </w:footnote>
  <w:footnote w:type="continuationSeparator" w:id="0">
    <w:p w:rsidR="0008329D" w:rsidRDefault="0008329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77A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2D50"/>
    <w:multiLevelType w:val="hybridMultilevel"/>
    <w:tmpl w:val="602E5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B7F68"/>
    <w:multiLevelType w:val="hybridMultilevel"/>
    <w:tmpl w:val="21A2A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22827"/>
    <w:multiLevelType w:val="hybridMultilevel"/>
    <w:tmpl w:val="48962A72"/>
    <w:lvl w:ilvl="0" w:tplc="9A46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7068"/>
    <w:multiLevelType w:val="hybridMultilevel"/>
    <w:tmpl w:val="8D1E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13CD6"/>
    <w:multiLevelType w:val="hybridMultilevel"/>
    <w:tmpl w:val="5A5E60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427C8"/>
    <w:multiLevelType w:val="hybridMultilevel"/>
    <w:tmpl w:val="C5109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C74CC"/>
    <w:multiLevelType w:val="hybridMultilevel"/>
    <w:tmpl w:val="816A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56ED9"/>
    <w:multiLevelType w:val="hybridMultilevel"/>
    <w:tmpl w:val="87FC7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15B58"/>
    <w:multiLevelType w:val="hybridMultilevel"/>
    <w:tmpl w:val="0A6E6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14755B"/>
    <w:multiLevelType w:val="hybridMultilevel"/>
    <w:tmpl w:val="4CCED87E"/>
    <w:lvl w:ilvl="0" w:tplc="03B44974">
      <w:start w:val="2"/>
      <w:numFmt w:val="decimal"/>
      <w:lvlText w:val="%1."/>
      <w:lvlJc w:val="left"/>
      <w:pPr>
        <w:ind w:left="720" w:hanging="360"/>
      </w:pPr>
      <w:rPr>
        <w:rFonts w:cs="HelveticaNeueLT-Ligh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90CAF"/>
    <w:multiLevelType w:val="hybridMultilevel"/>
    <w:tmpl w:val="26B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D53EE"/>
    <w:multiLevelType w:val="hybridMultilevel"/>
    <w:tmpl w:val="E63A0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7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8329D"/>
    <w:rsid w:val="00104CDC"/>
    <w:rsid w:val="001111F9"/>
    <w:rsid w:val="001603B7"/>
    <w:rsid w:val="001676E9"/>
    <w:rsid w:val="001976B7"/>
    <w:rsid w:val="001E18CF"/>
    <w:rsid w:val="00252E0A"/>
    <w:rsid w:val="00271A02"/>
    <w:rsid w:val="002A63E4"/>
    <w:rsid w:val="00383D50"/>
    <w:rsid w:val="003D0899"/>
    <w:rsid w:val="004A2D97"/>
    <w:rsid w:val="004F1C69"/>
    <w:rsid w:val="005C2B9B"/>
    <w:rsid w:val="005E4DC9"/>
    <w:rsid w:val="006524D0"/>
    <w:rsid w:val="00705196"/>
    <w:rsid w:val="007649E3"/>
    <w:rsid w:val="008438C1"/>
    <w:rsid w:val="00845EC5"/>
    <w:rsid w:val="00894554"/>
    <w:rsid w:val="008E733D"/>
    <w:rsid w:val="009002F1"/>
    <w:rsid w:val="00A239B6"/>
    <w:rsid w:val="00A417F6"/>
    <w:rsid w:val="00AE2FBE"/>
    <w:rsid w:val="00B55D9D"/>
    <w:rsid w:val="00BB4D14"/>
    <w:rsid w:val="00C3568D"/>
    <w:rsid w:val="00CB6EB8"/>
    <w:rsid w:val="00D2566A"/>
    <w:rsid w:val="00D579A4"/>
    <w:rsid w:val="00D72FA5"/>
    <w:rsid w:val="00D87092"/>
    <w:rsid w:val="00DA4EFD"/>
    <w:rsid w:val="00DC6B2C"/>
    <w:rsid w:val="00E43529"/>
    <w:rsid w:val="00E703D6"/>
    <w:rsid w:val="00ED5670"/>
    <w:rsid w:val="00F03CCC"/>
    <w:rsid w:val="00F531D4"/>
    <w:rsid w:val="00F61E79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cbullion</cp:lastModifiedBy>
  <cp:revision>2</cp:revision>
  <cp:lastPrinted>2013-06-21T08:10:00Z</cp:lastPrinted>
  <dcterms:created xsi:type="dcterms:W3CDTF">2013-07-04T10:22:00Z</dcterms:created>
  <dcterms:modified xsi:type="dcterms:W3CDTF">2013-07-04T10:22:00Z</dcterms:modified>
</cp:coreProperties>
</file>